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59264" behindDoc="0" locked="0" layoutInCell="1" allowOverlap="1">
                <wp:simplePos x="0" y="0"/>
                <wp:positionH relativeFrom="column">
                  <wp:posOffset>-182245</wp:posOffset>
                </wp:positionH>
                <wp:positionV relativeFrom="paragraph">
                  <wp:posOffset>-144780</wp:posOffset>
                </wp:positionV>
                <wp:extent cx="5716905" cy="817880"/>
                <wp:effectExtent l="0" t="0" r="17145" b="43180"/>
                <wp:wrapNone/>
                <wp:docPr id="1" name="组合 1"/>
                <wp:cNvGraphicFramePr/>
                <a:graphic xmlns:a="http://schemas.openxmlformats.org/drawingml/2006/main">
                  <a:graphicData uri="http://schemas.microsoft.com/office/word/2010/wordprocessingGroup">
                    <wpg:wgp>
                      <wpg:cNvGrpSpPr/>
                      <wpg:grpSpPr>
                        <a:xfrm>
                          <a:off x="0" y="0"/>
                          <a:ext cx="5716905" cy="817880"/>
                          <a:chOff x="0" y="0"/>
                          <a:chExt cx="9390" cy="1288"/>
                        </a:xfrm>
                        <a:effectLst/>
                      </wpg:grpSpPr>
                      <wps:wsp>
                        <wps:cNvPr id="2" name="Text Box 3"/>
                        <wps:cNvSpPr txBox="1">
                          <a:spLocks noChangeArrowheads="1"/>
                        </wps:cNvSpPr>
                        <wps:spPr bwMode="auto">
                          <a:xfrm>
                            <a:off x="98" y="0"/>
                            <a:ext cx="2082" cy="1288"/>
                          </a:xfrm>
                          <a:prstGeom prst="rect">
                            <a:avLst/>
                          </a:prstGeom>
                          <a:noFill/>
                          <a:ln>
                            <a:noFill/>
                          </a:ln>
                          <a:effectLst/>
                        </wps:spPr>
                        <wps:txbx>
                          <w:txbxContent>
                            <w:p>
                              <w:pPr>
                                <w:adjustRightInd w:val="0"/>
                                <w:snapToGrid w:val="0"/>
                                <w:jc w:val="distribute"/>
                                <w:rPr>
                                  <w:rFonts w:ascii="宋体" w:hAnsi="宋体"/>
                                  <w:color w:val="FF0000"/>
                                  <w:sz w:val="36"/>
                                  <w:szCs w:val="36"/>
                                </w:rPr>
                              </w:pPr>
                              <w:r>
                                <w:rPr>
                                  <w:rFonts w:hint="eastAsia" w:ascii="宋体" w:hAnsi="宋体"/>
                                  <w:color w:val="FF0000"/>
                                  <w:sz w:val="36"/>
                                  <w:szCs w:val="36"/>
                                </w:rPr>
                                <w:t>广西壮族</w:t>
                              </w:r>
                              <w:r>
                                <w:rPr>
                                  <w:rFonts w:hint="eastAsia" w:ascii="宋体" w:hAnsi="宋体"/>
                                  <w:color w:val="FF0000"/>
                                  <w:sz w:val="36"/>
                                  <w:szCs w:val="36"/>
                                </w:rPr>
                                <w:br w:type="textWrapping"/>
                              </w:r>
                              <w:r>
                                <w:rPr>
                                  <w:rFonts w:hint="eastAsia" w:ascii="宋体" w:hAnsi="宋体"/>
                                  <w:color w:val="FF0000"/>
                                  <w:sz w:val="36"/>
                                  <w:szCs w:val="36"/>
                                </w:rPr>
                                <w:t>自治区</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2039" y="159"/>
                            <a:ext cx="7275" cy="1129"/>
                          </a:xfrm>
                          <a:prstGeom prst="rect">
                            <a:avLst/>
                          </a:prstGeom>
                          <a:noFill/>
                          <a:ln>
                            <a:noFill/>
                          </a:ln>
                          <a:effectLst/>
                        </wps:spPr>
                        <wps:txbx>
                          <w:txbxContent>
                            <w:p>
                              <w:pPr>
                                <w:adjustRightInd w:val="0"/>
                                <w:snapToGrid w:val="0"/>
                                <w:jc w:val="distribute"/>
                                <w:rPr>
                                  <w:rFonts w:ascii="宋体" w:hAnsi="宋体"/>
                                  <w:color w:val="FF0000"/>
                                  <w:sz w:val="72"/>
                                  <w:szCs w:val="72"/>
                                </w:rPr>
                              </w:pPr>
                              <w:r>
                                <w:rPr>
                                  <w:rFonts w:hint="eastAsia" w:ascii="宋体" w:hAnsi="宋体"/>
                                  <w:color w:val="FF0000"/>
                                  <w:sz w:val="72"/>
                                  <w:szCs w:val="72"/>
                                </w:rPr>
                                <w:t>梧州高级中学</w:t>
                              </w:r>
                            </w:p>
                          </w:txbxContent>
                        </wps:txbx>
                        <wps:bodyPr rot="0" vert="horz" wrap="square" lIns="91440" tIns="45720" rIns="91440" bIns="45720" anchor="t" anchorCtr="0" upright="1">
                          <a:noAutofit/>
                        </wps:bodyPr>
                      </wps:wsp>
                      <wps:wsp>
                        <wps:cNvPr id="4" name="Line 5"/>
                        <wps:cNvCnPr/>
                        <wps:spPr bwMode="auto">
                          <a:xfrm>
                            <a:off x="0" y="1251"/>
                            <a:ext cx="9390" cy="1"/>
                          </a:xfrm>
                          <a:prstGeom prst="line">
                            <a:avLst/>
                          </a:prstGeom>
                          <a:noFill/>
                          <a:ln w="95250" cmpd="thinThick">
                            <a:solidFill>
                              <a:srgbClr val="FF0000"/>
                            </a:solidFill>
                            <a:round/>
                          </a:ln>
                          <a:effectLst/>
                        </wps:spPr>
                        <wps:bodyPr/>
                      </wps:wsp>
                    </wpg:wgp>
                  </a:graphicData>
                </a:graphic>
              </wp:anchor>
            </w:drawing>
          </mc:Choice>
          <mc:Fallback>
            <w:pict>
              <v:group id="_x0000_s1026" o:spid="_x0000_s1026" o:spt="203" style="position:absolute;left:0pt;margin-left:-14.35pt;margin-top:-11.4pt;height:64.4pt;width:450.15pt;z-index:251659264;mso-width-relative:page;mso-height-relative:page;" coordsize="9390,1288" o:gfxdata="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UzVg22gAAAAsBAAAP&#10;AAAAAAAAAAEAIAAAACIAAABkcnMvZG93bnJldi54bWxQSwECFAAUAAAACACHTuJA/P3A8/oCAAD7&#10;CAAADgAAAAAAAAABACAAAAApAQAAZHJzL2Uyb0RvYy54bWxQSwUGAAAAAAYABgBZAQAAlQYAAAAA&#10;">
                <o:lock v:ext="edit" aspectratio="f"/>
                <v:shape id="Text Box 3" o:spid="_x0000_s1026" o:spt="202" type="#_x0000_t202" style="position:absolute;left:98;top:0;height:1288;width:20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v:fill on="f" focussize="0,0"/>
                  <v:stroke on="f"/>
                  <v:imagedata o:title=""/>
                  <o:lock v:ext="edit" aspectratio="f"/>
                  <v:textbox>
                    <w:txbxContent>
                      <w:p>
                        <w:pPr>
                          <w:adjustRightInd w:val="0"/>
                          <w:snapToGrid w:val="0"/>
                          <w:jc w:val="distribute"/>
                          <w:rPr>
                            <w:rFonts w:ascii="宋体" w:hAnsi="宋体"/>
                            <w:color w:val="FF0000"/>
                            <w:sz w:val="36"/>
                            <w:szCs w:val="36"/>
                          </w:rPr>
                        </w:pPr>
                        <w:r>
                          <w:rPr>
                            <w:rFonts w:hint="eastAsia" w:ascii="宋体" w:hAnsi="宋体"/>
                            <w:color w:val="FF0000"/>
                            <w:sz w:val="36"/>
                            <w:szCs w:val="36"/>
                          </w:rPr>
                          <w:t>广西壮族</w:t>
                        </w:r>
                        <w:r>
                          <w:rPr>
                            <w:rFonts w:hint="eastAsia" w:ascii="宋体" w:hAnsi="宋体"/>
                            <w:color w:val="FF0000"/>
                            <w:sz w:val="36"/>
                            <w:szCs w:val="36"/>
                          </w:rPr>
                          <w:br w:type="textWrapping"/>
                        </w:r>
                        <w:r>
                          <w:rPr>
                            <w:rFonts w:hint="eastAsia" w:ascii="宋体" w:hAnsi="宋体"/>
                            <w:color w:val="FF0000"/>
                            <w:sz w:val="36"/>
                            <w:szCs w:val="36"/>
                          </w:rPr>
                          <w:t>自治区</w:t>
                        </w:r>
                      </w:p>
                    </w:txbxContent>
                  </v:textbox>
                </v:shape>
                <v:shape id="Text Box 4" o:spid="_x0000_s1026" o:spt="202" type="#_x0000_t202" style="position:absolute;left:2039;top:159;height:1129;width:727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v:fill on="f" focussize="0,0"/>
                  <v:stroke on="f"/>
                  <v:imagedata o:title=""/>
                  <o:lock v:ext="edit" aspectratio="f"/>
                  <v:textbox>
                    <w:txbxContent>
                      <w:p>
                        <w:pPr>
                          <w:adjustRightInd w:val="0"/>
                          <w:snapToGrid w:val="0"/>
                          <w:jc w:val="distribute"/>
                          <w:rPr>
                            <w:rFonts w:ascii="宋体" w:hAnsi="宋体"/>
                            <w:color w:val="FF0000"/>
                            <w:sz w:val="72"/>
                            <w:szCs w:val="72"/>
                          </w:rPr>
                        </w:pPr>
                        <w:r>
                          <w:rPr>
                            <w:rFonts w:hint="eastAsia" w:ascii="宋体" w:hAnsi="宋体"/>
                            <w:color w:val="FF0000"/>
                            <w:sz w:val="72"/>
                            <w:szCs w:val="72"/>
                          </w:rPr>
                          <w:t>梧州高级中学</w:t>
                        </w:r>
                      </w:p>
                    </w:txbxContent>
                  </v:textbox>
                </v:shape>
                <v:line id="Line 5" o:spid="_x0000_s1026" o:spt="20" style="position:absolute;left:0;top:1251;height:1;width:939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qDxb8AAADaAAAADwAAAGRycy9kb3ducmV2LnhtbESPQWvCQBSE74L/YXmCN91YbJHoKmIJ&#10;9NhGvT+yzySYfRt2X2P8991CocdhZr5hdofRdWqgEFvPBlbLDBRx5W3LtYHLuVhsQEVBtth5JgNP&#10;inDYTyc7zK1/8BcNpdQqQTjmaKAR6XOtY9WQw7j0PXHybj44lCRDrW3AR4K7Tr9k2Zt22HJaaLCn&#10;U0PVvfx2Bqw9v2LxWTyl7CRch4Fv13c2Zj4bj1tQQqP8h//aH9bAGn6vpBug9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XqDxb8AAADaAAAADwAAAAAAAAAAAAAAAACh&#10;AgAAZHJzL2Rvd25yZXYueG1sUEsFBgAAAAAEAAQA+QAAAI0DAAAAAA==&#10;">
                  <v:fill on="f" focussize="0,0"/>
                  <v:stroke weight="7.5pt" color="#FF0000" linestyle="thinThick" joinstyle="round"/>
                  <v:imagedata o:title=""/>
                  <o:lock v:ext="edit" aspectratio="f"/>
                </v:line>
              </v:group>
            </w:pict>
          </mc:Fallback>
        </mc:AlternateContent>
      </w:r>
    </w:p>
    <w:p>
      <w:pPr>
        <w:spacing w:line="720" w:lineRule="exact"/>
        <w:rPr>
          <w:rFonts w:ascii="仿宋_GB2312" w:eastAsia="仿宋_GB2312"/>
          <w:b/>
          <w:sz w:val="32"/>
          <w:szCs w:val="32"/>
        </w:rPr>
      </w:pPr>
    </w:p>
    <w:p>
      <w:pPr>
        <w:wordWrap w:val="0"/>
        <w:spacing w:line="720" w:lineRule="exact"/>
        <w:ind w:left="797" w:hanging="697" w:hangingChars="249"/>
        <w:jc w:val="right"/>
        <w:rPr>
          <w:rFonts w:hint="eastAsia"/>
          <w:b/>
          <w:bCs/>
          <w:sz w:val="24"/>
          <w:szCs w:val="24"/>
          <w:lang w:eastAsia="zh-CN"/>
        </w:rPr>
      </w:pPr>
      <w:r>
        <w:rPr>
          <w:rFonts w:hint="eastAsia" w:hAnsi="仿宋" w:eastAsia="仿宋"/>
          <w:sz w:val="28"/>
          <w:szCs w:val="28"/>
          <w:lang w:eastAsia="zh-CN"/>
        </w:rPr>
        <w:t>教导</w:t>
      </w:r>
      <w:r>
        <w:rPr>
          <w:rFonts w:hAnsi="仿宋" w:eastAsia="仿宋"/>
          <w:sz w:val="28"/>
          <w:szCs w:val="28"/>
        </w:rPr>
        <w:t>〔</w:t>
      </w:r>
      <w:r>
        <w:rPr>
          <w:rFonts w:eastAsia="仿宋"/>
          <w:sz w:val="28"/>
          <w:szCs w:val="28"/>
        </w:rPr>
        <w:t>201</w:t>
      </w:r>
      <w:r>
        <w:rPr>
          <w:rFonts w:hint="eastAsia" w:eastAsia="仿宋"/>
          <w:sz w:val="28"/>
          <w:szCs w:val="28"/>
          <w:lang w:val="en-US" w:eastAsia="zh-CN"/>
        </w:rPr>
        <w:t>8</w:t>
      </w:r>
      <w:r>
        <w:rPr>
          <w:rFonts w:hAnsi="仿宋" w:eastAsia="仿宋"/>
          <w:sz w:val="28"/>
          <w:szCs w:val="28"/>
        </w:rPr>
        <w:t>〕</w:t>
      </w:r>
      <w:r>
        <w:rPr>
          <w:rFonts w:hint="eastAsia" w:hAnsi="仿宋" w:eastAsia="仿宋"/>
          <w:sz w:val="28"/>
          <w:szCs w:val="28"/>
          <w:lang w:val="en-US" w:eastAsia="zh-CN"/>
        </w:rPr>
        <w:t>2</w:t>
      </w:r>
      <w:r>
        <w:rPr>
          <w:rFonts w:hAnsi="仿宋" w:eastAsia="仿宋"/>
          <w:sz w:val="28"/>
          <w:szCs w:val="28"/>
        </w:rPr>
        <w:t>号</w:t>
      </w:r>
    </w:p>
    <w:p>
      <w:pPr>
        <w:keepNext w:val="0"/>
        <w:keepLines w:val="0"/>
        <w:widowControl/>
        <w:suppressLineNumbers w:val="0"/>
        <w:spacing w:line="360" w:lineRule="auto"/>
        <w:jc w:val="center"/>
        <w:rPr>
          <w:rFonts w:hint="eastAsia"/>
          <w:b/>
          <w:bCs/>
          <w:sz w:val="28"/>
          <w:szCs w:val="28"/>
          <w:lang w:eastAsia="zh-CN"/>
        </w:rPr>
      </w:pPr>
      <w:bookmarkStart w:id="0" w:name="_GoBack"/>
      <w:r>
        <w:rPr>
          <w:rFonts w:hint="eastAsia"/>
          <w:b/>
          <w:bCs/>
          <w:sz w:val="28"/>
          <w:szCs w:val="28"/>
          <w:lang w:eastAsia="zh-CN"/>
        </w:rPr>
        <w:t>关于进一步规范梧州高中校本课程申报的通知</w:t>
      </w:r>
      <w:bookmarkEnd w:id="0"/>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为了切实有效地履行课程管理的权责，落实国家基础教育课程管理政策，有效整合我校原有的课程资源，提高学校课程的整体质量，促进全体学生主动地发展，提升教师课程管理意识，</w:t>
      </w:r>
      <w:r>
        <w:rPr>
          <w:rFonts w:hint="eastAsia" w:asciiTheme="minorEastAsia" w:hAnsiTheme="minorEastAsia" w:cstheme="minorEastAsia"/>
          <w:sz w:val="24"/>
          <w:szCs w:val="24"/>
          <w:lang w:val="en-US" w:eastAsia="zh-CN"/>
        </w:rPr>
        <w:t>2018年春季学期我校开始推行《梧州高中校本课程实施方案》，自方案推行以来，各位老师们踊跃申报梧高校本课程，为学生提供了多样化的课程选择。以下将进一步明确校本课程申报的要求，以便于各位老师根据本学科特点或个人的兴趣特长，为学生开发出更丰富、更符合学生需求的校本课程。</w:t>
      </w:r>
    </w:p>
    <w:p>
      <w:pPr>
        <w:numPr>
          <w:ilvl w:val="0"/>
          <w:numId w:val="1"/>
        </w:numPr>
        <w:spacing w:line="360" w:lineRule="auto"/>
        <w:ind w:firstLine="482" w:firstLineChars="200"/>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增设E类校本课程</w:t>
      </w:r>
    </w:p>
    <w:p>
      <w:pPr>
        <w:numPr>
          <w:ilvl w:val="0"/>
          <w:numId w:val="0"/>
        </w:numPr>
        <w:spacing w:line="360" w:lineRule="auto"/>
        <w:ind w:firstLine="480" w:firstLineChars="20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sz w:val="24"/>
          <w:szCs w:val="24"/>
          <w:lang w:val="en-US" w:eastAsia="zh-CN"/>
        </w:rPr>
        <w:t>目前我校的校本课程主要分为4类：</w:t>
      </w:r>
      <w:r>
        <w:rPr>
          <w:rFonts w:hint="eastAsia" w:asciiTheme="minorEastAsia" w:hAnsiTheme="minorEastAsia" w:eastAsiaTheme="minorEastAsia" w:cstheme="minorEastAsia"/>
          <w:b w:val="0"/>
          <w:bCs w:val="0"/>
          <w:sz w:val="24"/>
          <w:szCs w:val="24"/>
          <w:lang w:val="en-US" w:eastAsia="zh-CN"/>
        </w:rPr>
        <w:t>A类课程为学校竞赛培优、促优类课程。B类课程为学校一本临界生提分课程。C类课程为学校与浙大万鹏联合开设的空中课堂。D类课程为班主任的专题德育课程。</w:t>
      </w:r>
      <w:r>
        <w:rPr>
          <w:rFonts w:hint="eastAsia" w:asciiTheme="minorEastAsia" w:hAnsiTheme="minorEastAsia" w:cstheme="minorEastAsia"/>
          <w:b w:val="0"/>
          <w:bCs w:val="0"/>
          <w:sz w:val="24"/>
          <w:szCs w:val="24"/>
          <w:lang w:val="en-US" w:eastAsia="zh-CN"/>
        </w:rPr>
        <w:t>先根据老师们的需求，特增设E类校本课程：兴趣类课程。目前根据申报情况，属于E类课程的有：</w:t>
      </w:r>
    </w:p>
    <w:tbl>
      <w:tblPr>
        <w:tblStyle w:val="3"/>
        <w:tblpPr w:leftFromText="180" w:rightFromText="180" w:vertAnchor="text" w:horzAnchor="page" w:tblpX="2017" w:tblpY="66"/>
        <w:tblOverlap w:val="never"/>
        <w:tblW w:w="8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275"/>
        <w:gridCol w:w="750"/>
        <w:gridCol w:w="1995"/>
        <w:gridCol w:w="124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865"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年级</w:t>
            </w:r>
          </w:p>
        </w:tc>
        <w:tc>
          <w:tcPr>
            <w:tcW w:w="1275"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学科</w:t>
            </w:r>
          </w:p>
        </w:tc>
        <w:tc>
          <w:tcPr>
            <w:tcW w:w="750"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类别</w:t>
            </w:r>
          </w:p>
        </w:tc>
        <w:tc>
          <w:tcPr>
            <w:tcW w:w="1995"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vertAlign w:val="baseline"/>
                <w:lang w:eastAsia="zh-CN"/>
              </w:rPr>
              <w:t>课程名称</w:t>
            </w:r>
          </w:p>
        </w:tc>
        <w:tc>
          <w:tcPr>
            <w:tcW w:w="1240"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vertAlign w:val="baseline"/>
                <w:lang w:eastAsia="zh-CN"/>
              </w:rPr>
              <w:t>授课教师</w:t>
            </w:r>
          </w:p>
        </w:tc>
        <w:tc>
          <w:tcPr>
            <w:tcW w:w="2020"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vertAlign w:val="baseline"/>
                <w:lang w:eastAsia="zh-CN"/>
              </w:rPr>
              <w:t>授课对象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5"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高一</w:t>
            </w:r>
          </w:p>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高二</w:t>
            </w:r>
          </w:p>
        </w:tc>
        <w:tc>
          <w:tcPr>
            <w:tcW w:w="1275"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信息技术</w:t>
            </w:r>
          </w:p>
        </w:tc>
        <w:tc>
          <w:tcPr>
            <w:tcW w:w="750"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E</w:t>
            </w:r>
          </w:p>
        </w:tc>
        <w:tc>
          <w:tcPr>
            <w:tcW w:w="1995"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机器人竞赛辅导</w:t>
            </w:r>
          </w:p>
        </w:tc>
        <w:tc>
          <w:tcPr>
            <w:tcW w:w="1240"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朱穗   邹小宁  黎骏  </w:t>
            </w:r>
          </w:p>
        </w:tc>
        <w:tc>
          <w:tcPr>
            <w:tcW w:w="2020"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机器人及创客竞赛参赛学生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5"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高二</w:t>
            </w:r>
          </w:p>
        </w:tc>
        <w:tc>
          <w:tcPr>
            <w:tcW w:w="1275"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德育</w:t>
            </w:r>
          </w:p>
        </w:tc>
        <w:tc>
          <w:tcPr>
            <w:tcW w:w="750"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E</w:t>
            </w:r>
          </w:p>
        </w:tc>
        <w:tc>
          <w:tcPr>
            <w:tcW w:w="1995"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女生健康、安全中学生讲坛</w:t>
            </w:r>
          </w:p>
        </w:tc>
        <w:tc>
          <w:tcPr>
            <w:tcW w:w="1240"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陈广云  周友恒  邓佳领</w:t>
            </w:r>
          </w:p>
        </w:tc>
        <w:tc>
          <w:tcPr>
            <w:tcW w:w="2020"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高二文科班感兴趣的女同学</w:t>
            </w:r>
          </w:p>
        </w:tc>
      </w:tr>
    </w:tbl>
    <w:p>
      <w:pPr>
        <w:numPr>
          <w:ilvl w:val="0"/>
          <w:numId w:val="1"/>
        </w:numPr>
        <w:tabs>
          <w:tab w:val="clear" w:pos="312"/>
        </w:tabs>
        <w:spacing w:line="360" w:lineRule="auto"/>
        <w:ind w:left="0" w:leftChars="0" w:firstLine="482" w:firstLineChars="200"/>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校本课程的申报时间</w:t>
      </w:r>
    </w:p>
    <w:p>
      <w:pPr>
        <w:numPr>
          <w:ilvl w:val="0"/>
          <w:numId w:val="0"/>
        </w:numPr>
        <w:spacing w:line="360" w:lineRule="auto"/>
        <w:ind w:left="0" w:leftChars="0" w:firstLine="420" w:firstLineChars="175"/>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本学期已经进行了校本课程的第一次申报，由于目前校本课程的开发和课程体系的建设尚处于初级阶段，因此校本课程除了在开学后第二周进行每学期的第一次申报表的统一上报外，各位老师还可以在其他时间不定期地进行校本课程的申报，教导处将对各类校本课程进行审核，分批立项。</w:t>
      </w:r>
    </w:p>
    <w:p>
      <w:pPr>
        <w:numPr>
          <w:ilvl w:val="0"/>
          <w:numId w:val="0"/>
        </w:numPr>
        <w:spacing w:line="360" w:lineRule="auto"/>
        <w:ind w:left="0" w:leftChars="0" w:firstLine="420" w:firstLineChars="175"/>
        <w:rPr>
          <w:rFonts w:hint="eastAsia" w:asciiTheme="minorEastAsia" w:hAnsiTheme="minorEastAsia" w:cstheme="minorEastAsia"/>
          <w:b w:val="0"/>
          <w:bCs w:val="0"/>
          <w:sz w:val="24"/>
          <w:szCs w:val="24"/>
          <w:lang w:val="en-US" w:eastAsia="zh-CN"/>
        </w:rPr>
      </w:pPr>
    </w:p>
    <w:p>
      <w:pPr>
        <w:numPr>
          <w:ilvl w:val="0"/>
          <w:numId w:val="1"/>
        </w:numPr>
        <w:tabs>
          <w:tab w:val="clear" w:pos="312"/>
        </w:tabs>
        <w:spacing w:line="360" w:lineRule="auto"/>
        <w:ind w:left="0" w:leftChars="0" w:firstLine="482" w:firstLineChars="200"/>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申报校本课程的要点</w:t>
      </w:r>
    </w:p>
    <w:p>
      <w:pPr>
        <w:numPr>
          <w:ilvl w:val="0"/>
          <w:numId w:val="0"/>
        </w:numPr>
        <w:spacing w:line="360" w:lineRule="auto"/>
        <w:ind w:left="0" w:leftChars="0" w:firstLine="420" w:firstLineChars="175"/>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各位教师申报校本课程时，应充分注意以下几点：</w:t>
      </w:r>
    </w:p>
    <w:p>
      <w:pPr>
        <w:numPr>
          <w:ilvl w:val="0"/>
          <w:numId w:val="0"/>
        </w:numPr>
        <w:spacing w:line="360" w:lineRule="auto"/>
        <w:ind w:left="0" w:leftChars="0" w:firstLine="420" w:firstLineChars="175"/>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①申报的校本课程必须充分考虑学生的需要，年级的需要，年级管理的要求等因素，避免导致申报的校本课程不能立项。如申报B类课程：一本临界生提分课程，要主动和年级学科备课组长及年级主管领导多沟通，了解该年级学生的需求和年级课时安排等情况，以利于课程立项。</w:t>
      </w:r>
    </w:p>
    <w:p>
      <w:pPr>
        <w:numPr>
          <w:ilvl w:val="0"/>
          <w:numId w:val="0"/>
        </w:numPr>
        <w:spacing w:line="360" w:lineRule="auto"/>
        <w:ind w:left="0" w:leftChars="0" w:firstLine="420" w:firstLineChars="175"/>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②开发校本课程要注意完整性。教师在开发校本课程进行申报时，必须是一个完整、独立的课程专题和内容，比如申报B类课程空中课堂时，应该是主题连贯、授课连续的专题内容。</w:t>
      </w:r>
    </w:p>
    <w:p>
      <w:pPr>
        <w:numPr>
          <w:ilvl w:val="0"/>
          <w:numId w:val="0"/>
        </w:numPr>
        <w:spacing w:line="360" w:lineRule="auto"/>
        <w:ind w:left="0" w:leftChars="0" w:firstLine="420" w:firstLineChars="175"/>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③申报E类课程：兴趣类课程要充分考虑选择学生感兴趣的内容、专题来进行课程设计，通过生动、有趣、多样化的授课形式吸引学生选报此类课程。</w:t>
      </w:r>
    </w:p>
    <w:p>
      <w:pPr>
        <w:numPr>
          <w:ilvl w:val="0"/>
          <w:numId w:val="0"/>
        </w:numPr>
        <w:spacing w:line="360" w:lineRule="auto"/>
        <w:ind w:left="0" w:leftChars="0" w:firstLine="420" w:firstLineChars="175"/>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④校本课程应该是常规课堂的延伸，学校安排的教学任务内的常规教学课时，不能作为校本课程进行申报、认证。</w:t>
      </w:r>
    </w:p>
    <w:p>
      <w:pPr>
        <w:numPr>
          <w:ilvl w:val="0"/>
          <w:numId w:val="0"/>
        </w:numPr>
        <w:spacing w:line="360" w:lineRule="auto"/>
        <w:ind w:left="0" w:leftChars="0" w:firstLine="420" w:firstLineChars="175"/>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⑤校本课程必须先申报，经审核通过立项，进行授课，授课后按清单上报相关材料，才能进行“开发或参与校本课程”的工作量认证。</w:t>
      </w:r>
    </w:p>
    <w:p>
      <w:pPr>
        <w:numPr>
          <w:ilvl w:val="0"/>
          <w:numId w:val="1"/>
        </w:numPr>
        <w:spacing w:line="360" w:lineRule="auto"/>
        <w:ind w:left="0" w:leftChars="0" w:firstLine="482" w:firstLineChars="200"/>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校本课程的认证</w:t>
      </w:r>
    </w:p>
    <w:p>
      <w:pPr>
        <w:numPr>
          <w:ilvl w:val="0"/>
          <w:numId w:val="0"/>
        </w:numPr>
        <w:spacing w:line="360" w:lineRule="auto"/>
        <w:ind w:left="0" w:leftChars="0" w:firstLine="420" w:firstLineChars="175"/>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根据</w:t>
      </w:r>
      <w:r>
        <w:rPr>
          <w:rFonts w:hint="eastAsia" w:asciiTheme="minorEastAsia" w:hAnsiTheme="minorEastAsia" w:eastAsiaTheme="minorEastAsia" w:cstheme="minorEastAsia"/>
          <w:b w:val="0"/>
          <w:bCs w:val="0"/>
          <w:sz w:val="24"/>
          <w:szCs w:val="24"/>
          <w:lang w:val="en-US" w:eastAsia="zh-CN"/>
        </w:rPr>
        <w:t>桂职办[2016]68号《广西壮族自治区中小学教师系列高、中、初级专业技术任职资格评审条件》</w:t>
      </w:r>
      <w:r>
        <w:rPr>
          <w:rFonts w:hint="eastAsia" w:asciiTheme="minorEastAsia" w:hAnsiTheme="minorEastAsia" w:cstheme="minorEastAsia"/>
          <w:b w:val="0"/>
          <w:bCs w:val="0"/>
          <w:sz w:val="24"/>
          <w:szCs w:val="24"/>
          <w:lang w:val="en-US" w:eastAsia="zh-CN"/>
        </w:rPr>
        <w:t>的文件精神，结合我校的实际情况，教导处在2018年春季学期制定了《梧州高中校本课程实施方案》。由于2018年是我校校本课程实施方案推出并试行的过渡阶段，因此</w:t>
      </w:r>
      <w:r>
        <w:rPr>
          <w:rFonts w:hint="eastAsia" w:asciiTheme="minorEastAsia" w:hAnsiTheme="minorEastAsia" w:cstheme="minorEastAsia"/>
          <w:b/>
          <w:bCs/>
          <w:sz w:val="24"/>
          <w:szCs w:val="24"/>
          <w:lang w:val="en-US" w:eastAsia="zh-CN"/>
        </w:rPr>
        <w:t>2018年以前（含2018年）</w:t>
      </w:r>
      <w:r>
        <w:rPr>
          <w:rFonts w:hint="eastAsia" w:asciiTheme="minorEastAsia" w:hAnsiTheme="minorEastAsia" w:cstheme="minorEastAsia"/>
          <w:b w:val="0"/>
          <w:bCs w:val="0"/>
          <w:sz w:val="24"/>
          <w:szCs w:val="24"/>
          <w:lang w:val="en-US" w:eastAsia="zh-CN"/>
        </w:rPr>
        <w:t>各位教师所开设的各类校本课程，可由教师本人写申请报告，报告包括所开设校本课程的课题名称和时间等内容，由教研组长进行审核并签名，最后由教导处盖章认证。从</w:t>
      </w:r>
      <w:r>
        <w:rPr>
          <w:rFonts w:hint="eastAsia" w:asciiTheme="minorEastAsia" w:hAnsiTheme="minorEastAsia" w:cstheme="minorEastAsia"/>
          <w:b/>
          <w:bCs/>
          <w:sz w:val="24"/>
          <w:szCs w:val="24"/>
          <w:lang w:val="en-US" w:eastAsia="zh-CN"/>
        </w:rPr>
        <w:t>2019年开始，</w:t>
      </w:r>
      <w:r>
        <w:rPr>
          <w:rFonts w:hint="eastAsia" w:asciiTheme="minorEastAsia" w:hAnsiTheme="minorEastAsia" w:cstheme="minorEastAsia"/>
          <w:b w:val="0"/>
          <w:bCs w:val="0"/>
          <w:sz w:val="24"/>
          <w:szCs w:val="24"/>
          <w:lang w:val="en-US" w:eastAsia="zh-CN"/>
        </w:rPr>
        <w:t>校本课程的认证则需按以下流程进行：先申报，经审核通过立项，进行授课，授课后按清单上报相关材料，教导处进行“开发或参与校本课程”的工作量认证。</w:t>
      </w:r>
    </w:p>
    <w:p>
      <w:pPr>
        <w:numPr>
          <w:ilvl w:val="0"/>
          <w:numId w:val="1"/>
        </w:numPr>
        <w:spacing w:line="360" w:lineRule="auto"/>
        <w:ind w:left="0" w:leftChars="0" w:firstLine="482" w:firstLineChars="200"/>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校本课程的课时计算</w:t>
      </w:r>
    </w:p>
    <w:p>
      <w:pPr>
        <w:numPr>
          <w:ilvl w:val="0"/>
          <w:numId w:val="0"/>
        </w:numPr>
        <w:spacing w:line="360" w:lineRule="auto"/>
        <w:ind w:firstLine="480" w:firstLineChars="20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我校的校本课程分为A、B、C、D、E五类课程，其中A类校本课程属竞赛培优促优类课程，此类课程的课时、课酬计算办法参照《梧州高级中学竞赛培优、促优工作管理和奖励方案》（修改稿）中的规定执行。C类校本课程是空中课堂，一次授课为两节课时，课酬由空中课堂管理方提供，教导处仅对教师授课节次进行认定。关于B、D、E类校本课程，如果授课时间在第一节到第九节，按辅导课计算课酬，如果授课时间安排在晚自修，由于晚自修已经统一计算辅导费，则只记录课时，不重复计算课酬。</w:t>
      </w:r>
    </w:p>
    <w:p>
      <w:pPr>
        <w:numPr>
          <w:ilvl w:val="0"/>
          <w:numId w:val="0"/>
        </w:numPr>
        <w:spacing w:line="360" w:lineRule="auto"/>
        <w:ind w:left="61" w:leftChars="29" w:firstLine="480" w:firstLineChars="200"/>
        <w:rPr>
          <w:rFonts w:hint="eastAsia" w:asciiTheme="minorEastAsia" w:hAnsiTheme="minorEastAsia" w:eastAsiaTheme="minorEastAsia" w:cstheme="minorEastAsia"/>
          <w:b w:val="0"/>
          <w:bCs w:val="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BA8B"/>
    <w:multiLevelType w:val="singleLevel"/>
    <w:tmpl w:val="0E37BA8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66311"/>
    <w:rsid w:val="0D003802"/>
    <w:rsid w:val="29666311"/>
    <w:rsid w:val="557C5335"/>
    <w:rsid w:val="735D079A"/>
    <w:rsid w:val="78714EC7"/>
    <w:rsid w:val="7A9B35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2018-03-20T03:10:00Z</dcterms:created>
  <dc:creator>微风不留痕1422577929</dc:creator>
  <cp:lastModifiedBy>微风不留痕1422577929</cp:lastModifiedBy>
  <cp:lastPrinted>2018-03-20T03:11:00Z</cp:lastPrinted>
  <dcterms:modified xsi:type="dcterms:W3CDTF">2018-03-26T07:50:33Z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